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2AACAFAC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202</w:t>
      </w:r>
      <w:r w:rsidR="00A6431E">
        <w:rPr>
          <w:rFonts w:ascii="Corbel" w:eastAsia="Calibri" w:hAnsi="Corbel" w:cs="Times New Roman"/>
          <w:i/>
          <w:smallCaps/>
          <w:sz w:val="24"/>
          <w:szCs w:val="24"/>
        </w:rPr>
        <w:t>1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-202</w:t>
      </w:r>
      <w:r w:rsidR="00A6431E">
        <w:rPr>
          <w:rFonts w:ascii="Corbel" w:eastAsia="Calibri" w:hAnsi="Corbel" w:cs="Times New Roman"/>
          <w:i/>
          <w:smallCaps/>
          <w:sz w:val="24"/>
          <w:szCs w:val="24"/>
        </w:rPr>
        <w:t>4</w:t>
      </w:r>
    </w:p>
    <w:p w14:paraId="4BC30C5A" w14:textId="424FFBED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</w:t>
      </w:r>
      <w:r w:rsidR="00A6431E">
        <w:rPr>
          <w:rFonts w:ascii="Corbel" w:eastAsia="Calibri" w:hAnsi="Corbel" w:cs="Times New Roman"/>
          <w:sz w:val="20"/>
          <w:szCs w:val="20"/>
        </w:rPr>
        <w:t>2</w:t>
      </w:r>
      <w:r>
        <w:rPr>
          <w:rFonts w:ascii="Corbel" w:eastAsia="Calibri" w:hAnsi="Corbel" w:cs="Times New Roman"/>
          <w:sz w:val="20"/>
          <w:szCs w:val="20"/>
        </w:rPr>
        <w:t>/202</w:t>
      </w:r>
      <w:r w:rsidR="00A6431E">
        <w:rPr>
          <w:rFonts w:ascii="Corbel" w:eastAsia="Calibri" w:hAnsi="Corbel" w:cs="Times New Roman"/>
          <w:sz w:val="20"/>
          <w:szCs w:val="20"/>
        </w:rPr>
        <w:t>3</w:t>
      </w:r>
      <w:bookmarkStart w:id="0" w:name="_GoBack"/>
      <w:bookmarkEnd w:id="0"/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0512F7A8" w:rsidR="00F37AA7" w:rsidRPr="00F37AA7" w:rsidRDefault="00431B0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05AA2E52" w:rsidR="00F37AA7" w:rsidRPr="00F37AA7" w:rsidRDefault="009E5BC1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="00C61440"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535D262C" w:rsidR="00F37AA7" w:rsidRPr="00F37AA7" w:rsidRDefault="00431B0F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7C0FE4E9" w:rsidR="00F37AA7" w:rsidRPr="00F37AA7" w:rsidRDefault="00431B0F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77777777" w:rsidR="00EA325C" w:rsidRDefault="00EA325C" w:rsidP="00EA32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1238F0E5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1238F0E5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1238F0E5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66FF0654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C8E6E1" w:rsidRPr="1238F0E5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5D2DECD5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549FFE2" w:rsidRPr="1238F0E5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</w:t>
            </w:r>
            <w:r w:rsidR="00F445CA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(formułuje i analizuje problemy badawcze)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3A6531D8" w:rsidRPr="1238F0E5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</w:t>
            </w:r>
            <w:r w:rsidR="6EB9886E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(metody, narzędzia)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4212D683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projekt</w:t>
      </w:r>
      <w:r w:rsidR="000F2D2F" w:rsidRPr="1238F0E5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, </w:t>
      </w:r>
      <w:r w:rsidR="66C69469" w:rsidRPr="1238F0E5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1238F0E5">
        <w:rPr>
          <w:rFonts w:ascii="Corbel" w:eastAsia="Calibri" w:hAnsi="Corbel" w:cs="Times New Roman"/>
          <w:sz w:val="24"/>
          <w:szCs w:val="24"/>
        </w:rPr>
        <w:t>debata oksfordzka</w:t>
      </w:r>
    </w:p>
    <w:p w14:paraId="047D846D" w14:textId="5F2AE3C1" w:rsidR="00F37AA7" w:rsidRPr="00F37AA7" w:rsidRDefault="2ABE9F32" w:rsidP="00F37AA7">
      <w:pPr>
        <w:spacing w:after="0" w:line="240" w:lineRule="auto"/>
        <w:jc w:val="both"/>
      </w:pPr>
      <w:r w:rsidRPr="1238F0E5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238F0E5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238F0E5">
        <w:rPr>
          <w:rFonts w:ascii="Corbel" w:eastAsia="Corbel" w:hAnsi="Corbel" w:cs="Corbel"/>
          <w:sz w:val="24"/>
          <w:szCs w:val="24"/>
        </w:rPr>
        <w:t>.</w:t>
      </w:r>
    </w:p>
    <w:p w14:paraId="03F2B727" w14:textId="7FE6B335" w:rsidR="00F37AA7" w:rsidRPr="00F37AA7" w:rsidRDefault="00F37AA7" w:rsidP="1238F0E5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1238F0E5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1238F0E5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1238F0E5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3E6DAC4F" w:rsidR="00F37AA7" w:rsidRPr="00F37AA7" w:rsidRDefault="096E3421" w:rsidP="1238F0E5">
            <w:pPr>
              <w:spacing w:after="0" w:line="276" w:lineRule="auto"/>
              <w:jc w:val="center"/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projekt tematyczny,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E96B0E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1238F0E5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5826BF01" w:rsidR="00F37AA7" w:rsidRPr="00F37AA7" w:rsidRDefault="58E1C648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warunkiem zaliczenia ćwiczeń jest pozytywna ocena końcowa, ustalana na podstawie ocen cząstkowych otrzymywanych w trakcie semestru. Oceny są przyznawane za udział w projekcie tematycznym (określone prace indywidualne i zespołowe o charakterze analitycznym i projektowym)</w:t>
            </w:r>
            <w:r w:rsidR="0F0C670C" w:rsidRPr="1238F0E5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00822013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00822013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675B8B16" w:rsidR="00F37AA7" w:rsidRPr="00F37AA7" w:rsidRDefault="00431B0F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27</w:t>
            </w:r>
          </w:p>
        </w:tc>
      </w:tr>
      <w:tr w:rsidR="00F37AA7" w:rsidRPr="00F37AA7" w14:paraId="0F7D6952" w14:textId="77777777" w:rsidTr="00822013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1F4C4B3B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00822013">
        <w:tc>
          <w:tcPr>
            <w:tcW w:w="4902" w:type="dxa"/>
          </w:tcPr>
          <w:p w14:paraId="593E36DF" w14:textId="29BE0639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udział w projekcie badawczym, modułowym projekcie tematycznym</w:t>
            </w:r>
            <w:r w:rsidR="00C2429F">
              <w:rPr>
                <w:rFonts w:ascii="Corbel" w:eastAsia="Calibri" w:hAnsi="Corbel" w:cs="Times New Roman"/>
                <w:sz w:val="24"/>
                <w:szCs w:val="24"/>
              </w:rPr>
              <w:t xml:space="preserve"> lub przygotowanie do kolokwium</w:t>
            </w:r>
          </w:p>
        </w:tc>
        <w:tc>
          <w:tcPr>
            <w:tcW w:w="4618" w:type="dxa"/>
          </w:tcPr>
          <w:p w14:paraId="42CBEFD0" w14:textId="53320836" w:rsidR="00F37AA7" w:rsidRPr="00F37AA7" w:rsidRDefault="00431B0F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70</w:t>
            </w:r>
          </w:p>
        </w:tc>
      </w:tr>
      <w:tr w:rsidR="00F37AA7" w:rsidRPr="00F37AA7" w14:paraId="63FFC382" w14:textId="77777777" w:rsidTr="00822013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00822013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A660" w14:textId="77777777" w:rsidR="0079218D" w:rsidRDefault="0079218D" w:rsidP="00F37AA7">
      <w:pPr>
        <w:spacing w:after="0" w:line="240" w:lineRule="auto"/>
      </w:pPr>
      <w:r>
        <w:separator/>
      </w:r>
    </w:p>
  </w:endnote>
  <w:endnote w:type="continuationSeparator" w:id="0">
    <w:p w14:paraId="57160A3E" w14:textId="77777777" w:rsidR="0079218D" w:rsidRDefault="0079218D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636FB" w14:textId="77777777" w:rsidR="0079218D" w:rsidRDefault="0079218D" w:rsidP="00F37AA7">
      <w:pPr>
        <w:spacing w:after="0" w:line="240" w:lineRule="auto"/>
      </w:pPr>
      <w:r>
        <w:separator/>
      </w:r>
    </w:p>
  </w:footnote>
  <w:footnote w:type="continuationSeparator" w:id="0">
    <w:p w14:paraId="0464A49C" w14:textId="77777777" w:rsidR="0079218D" w:rsidRDefault="0079218D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542DF"/>
    <w:rsid w:val="00061078"/>
    <w:rsid w:val="000F2D2F"/>
    <w:rsid w:val="00127368"/>
    <w:rsid w:val="00431B0F"/>
    <w:rsid w:val="006E4617"/>
    <w:rsid w:val="0079218D"/>
    <w:rsid w:val="00796668"/>
    <w:rsid w:val="00815F5D"/>
    <w:rsid w:val="00834B37"/>
    <w:rsid w:val="00905DF8"/>
    <w:rsid w:val="009B03D9"/>
    <w:rsid w:val="009E5BC1"/>
    <w:rsid w:val="00A6431E"/>
    <w:rsid w:val="00C046A0"/>
    <w:rsid w:val="00C2429F"/>
    <w:rsid w:val="00C61440"/>
    <w:rsid w:val="00E736C8"/>
    <w:rsid w:val="00E8024B"/>
    <w:rsid w:val="00E81A9D"/>
    <w:rsid w:val="00E96B0E"/>
    <w:rsid w:val="00EA325C"/>
    <w:rsid w:val="00F37AA7"/>
    <w:rsid w:val="00F445CA"/>
    <w:rsid w:val="0237D130"/>
    <w:rsid w:val="06EF8A40"/>
    <w:rsid w:val="096E3421"/>
    <w:rsid w:val="0E93C231"/>
    <w:rsid w:val="0F0C670C"/>
    <w:rsid w:val="10CFD052"/>
    <w:rsid w:val="1238F0E5"/>
    <w:rsid w:val="13C8B073"/>
    <w:rsid w:val="20B70D8C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67B3D0F"/>
    <w:rsid w:val="3694656C"/>
    <w:rsid w:val="3A33C87D"/>
    <w:rsid w:val="3A6531D8"/>
    <w:rsid w:val="444AF354"/>
    <w:rsid w:val="44A297DD"/>
    <w:rsid w:val="46058DC2"/>
    <w:rsid w:val="483FFDF4"/>
    <w:rsid w:val="4C3F6C92"/>
    <w:rsid w:val="5549FFE2"/>
    <w:rsid w:val="55E64ED8"/>
    <w:rsid w:val="584B428A"/>
    <w:rsid w:val="589CB678"/>
    <w:rsid w:val="58E1C648"/>
    <w:rsid w:val="59EE5B18"/>
    <w:rsid w:val="5D2DECD5"/>
    <w:rsid w:val="5D978B81"/>
    <w:rsid w:val="5EE523B0"/>
    <w:rsid w:val="636D121F"/>
    <w:rsid w:val="66C69469"/>
    <w:rsid w:val="66F03595"/>
    <w:rsid w:val="6C73A1AC"/>
    <w:rsid w:val="6D41BC30"/>
    <w:rsid w:val="6EB9886E"/>
    <w:rsid w:val="6EC8E6E1"/>
    <w:rsid w:val="6EDD8C91"/>
    <w:rsid w:val="7211D354"/>
    <w:rsid w:val="74BE467D"/>
    <w:rsid w:val="75368601"/>
    <w:rsid w:val="77664300"/>
    <w:rsid w:val="797728E6"/>
    <w:rsid w:val="79FA64F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061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0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0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0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0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0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6867</Characters>
  <Application>Microsoft Office Word</Application>
  <DocSecurity>0</DocSecurity>
  <Lines>57</Lines>
  <Paragraphs>15</Paragraphs>
  <ScaleCrop>false</ScaleCrop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Sekcja Jakości i Akr. KNS</cp:lastModifiedBy>
  <cp:revision>18</cp:revision>
  <dcterms:created xsi:type="dcterms:W3CDTF">2020-11-22T22:55:00Z</dcterms:created>
  <dcterms:modified xsi:type="dcterms:W3CDTF">2021-09-03T08:14:00Z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